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6BBADB" w14:textId="77777777" w:rsidR="00154301" w:rsidRPr="00154301" w:rsidRDefault="00154301" w:rsidP="00154301">
      <w:pPr>
        <w:spacing w:line="480" w:lineRule="auto"/>
        <w:jc w:val="center"/>
        <w:rPr>
          <w:rFonts w:ascii="Times New Roman" w:hAnsi="Times New Roman" w:cs="Times New Roman"/>
          <w:sz w:val="24"/>
          <w:szCs w:val="24"/>
          <w:lang w:val="en-US"/>
        </w:rPr>
      </w:pPr>
      <w:bookmarkStart w:id="0" w:name="_GoBack"/>
      <w:bookmarkEnd w:id="0"/>
    </w:p>
    <w:p w14:paraId="6CC243C8" w14:textId="77777777" w:rsidR="00154301" w:rsidRPr="00154301" w:rsidRDefault="00154301" w:rsidP="00154301">
      <w:pPr>
        <w:spacing w:line="480" w:lineRule="auto"/>
        <w:jc w:val="center"/>
        <w:rPr>
          <w:rFonts w:ascii="Times New Roman" w:hAnsi="Times New Roman" w:cs="Times New Roman"/>
          <w:sz w:val="24"/>
          <w:szCs w:val="24"/>
          <w:lang w:val="en-US"/>
        </w:rPr>
      </w:pPr>
    </w:p>
    <w:p w14:paraId="247580AD" w14:textId="77777777" w:rsidR="00154301" w:rsidRPr="00154301" w:rsidRDefault="00154301" w:rsidP="00154301">
      <w:pPr>
        <w:spacing w:line="480" w:lineRule="auto"/>
        <w:jc w:val="center"/>
        <w:rPr>
          <w:rFonts w:ascii="Times New Roman" w:hAnsi="Times New Roman" w:cs="Times New Roman"/>
          <w:sz w:val="24"/>
          <w:szCs w:val="24"/>
          <w:lang w:val="en-US"/>
        </w:rPr>
      </w:pPr>
    </w:p>
    <w:p w14:paraId="19292233" w14:textId="77777777" w:rsidR="00154301" w:rsidRPr="00154301" w:rsidRDefault="00154301" w:rsidP="00154301">
      <w:pPr>
        <w:spacing w:line="480" w:lineRule="auto"/>
        <w:jc w:val="center"/>
        <w:rPr>
          <w:rFonts w:ascii="Times New Roman" w:hAnsi="Times New Roman" w:cs="Times New Roman"/>
          <w:sz w:val="24"/>
          <w:szCs w:val="24"/>
          <w:lang w:val="en-US"/>
        </w:rPr>
      </w:pPr>
    </w:p>
    <w:p w14:paraId="74AFD8FB" w14:textId="77777777" w:rsidR="00154301" w:rsidRPr="00154301" w:rsidRDefault="00154301" w:rsidP="00154301">
      <w:pPr>
        <w:spacing w:line="480" w:lineRule="auto"/>
        <w:jc w:val="center"/>
        <w:rPr>
          <w:rFonts w:ascii="Times New Roman" w:hAnsi="Times New Roman" w:cs="Times New Roman"/>
          <w:sz w:val="24"/>
          <w:szCs w:val="24"/>
          <w:lang w:val="en-US"/>
        </w:rPr>
      </w:pPr>
    </w:p>
    <w:p w14:paraId="15476BE4" w14:textId="77777777" w:rsidR="00154301" w:rsidRPr="00154301" w:rsidRDefault="00154301" w:rsidP="00154301">
      <w:pPr>
        <w:spacing w:line="480" w:lineRule="auto"/>
        <w:jc w:val="center"/>
        <w:rPr>
          <w:rFonts w:ascii="Times New Roman" w:hAnsi="Times New Roman" w:cs="Times New Roman"/>
          <w:sz w:val="24"/>
          <w:szCs w:val="24"/>
          <w:lang w:val="en-US"/>
        </w:rPr>
      </w:pPr>
    </w:p>
    <w:p w14:paraId="2E5D47F8" w14:textId="19240102" w:rsidR="00B854C0" w:rsidRPr="00154301" w:rsidRDefault="00B854C0" w:rsidP="00154301">
      <w:pPr>
        <w:spacing w:line="480" w:lineRule="auto"/>
        <w:jc w:val="center"/>
        <w:rPr>
          <w:rFonts w:ascii="Times New Roman" w:hAnsi="Times New Roman" w:cs="Times New Roman"/>
          <w:sz w:val="24"/>
          <w:szCs w:val="24"/>
          <w:lang w:val="en-US"/>
        </w:rPr>
      </w:pPr>
      <w:r w:rsidRPr="00154301">
        <w:rPr>
          <w:rFonts w:ascii="Times New Roman" w:hAnsi="Times New Roman" w:cs="Times New Roman"/>
          <w:sz w:val="24"/>
          <w:szCs w:val="24"/>
          <w:lang w:val="en-US"/>
        </w:rPr>
        <w:t>Genitalia Assessment</w:t>
      </w:r>
    </w:p>
    <w:p w14:paraId="28FBA226" w14:textId="77777777" w:rsidR="00B854C0" w:rsidRPr="00154301" w:rsidRDefault="00B854C0" w:rsidP="00154301">
      <w:pPr>
        <w:spacing w:line="480" w:lineRule="auto"/>
        <w:jc w:val="center"/>
        <w:rPr>
          <w:rFonts w:ascii="Times New Roman" w:hAnsi="Times New Roman" w:cs="Times New Roman"/>
          <w:sz w:val="24"/>
          <w:szCs w:val="24"/>
          <w:lang w:val="en-US"/>
        </w:rPr>
      </w:pPr>
      <w:r w:rsidRPr="00154301">
        <w:rPr>
          <w:rFonts w:ascii="Times New Roman" w:hAnsi="Times New Roman" w:cs="Times New Roman"/>
          <w:sz w:val="24"/>
          <w:szCs w:val="24"/>
          <w:lang w:val="en-US"/>
        </w:rPr>
        <w:t>Name of student</w:t>
      </w:r>
    </w:p>
    <w:p w14:paraId="64DEE9CA" w14:textId="7FB949F7" w:rsidR="00B854C0" w:rsidRPr="00154301" w:rsidRDefault="00B854C0" w:rsidP="00154301">
      <w:pPr>
        <w:spacing w:line="480" w:lineRule="auto"/>
        <w:jc w:val="center"/>
        <w:rPr>
          <w:rFonts w:ascii="Times New Roman" w:hAnsi="Times New Roman" w:cs="Times New Roman"/>
          <w:sz w:val="24"/>
          <w:szCs w:val="24"/>
          <w:lang w:val="en-US"/>
        </w:rPr>
      </w:pPr>
      <w:r w:rsidRPr="00154301">
        <w:rPr>
          <w:rFonts w:ascii="Times New Roman" w:hAnsi="Times New Roman" w:cs="Times New Roman"/>
          <w:sz w:val="24"/>
          <w:szCs w:val="24"/>
          <w:lang w:val="en-US"/>
        </w:rPr>
        <w:t>Institution</w:t>
      </w:r>
    </w:p>
    <w:p w14:paraId="758D904D" w14:textId="011A86DE" w:rsidR="00B854C0" w:rsidRDefault="00B854C0" w:rsidP="00154301">
      <w:pPr>
        <w:spacing w:line="480" w:lineRule="auto"/>
        <w:jc w:val="center"/>
        <w:rPr>
          <w:rFonts w:ascii="Times New Roman" w:hAnsi="Times New Roman" w:cs="Times New Roman"/>
          <w:sz w:val="24"/>
          <w:szCs w:val="24"/>
          <w:lang w:val="en-US"/>
        </w:rPr>
      </w:pPr>
      <w:r w:rsidRPr="00154301">
        <w:rPr>
          <w:rFonts w:ascii="Times New Roman" w:hAnsi="Times New Roman" w:cs="Times New Roman"/>
          <w:sz w:val="24"/>
          <w:szCs w:val="24"/>
          <w:lang w:val="en-US"/>
        </w:rPr>
        <w:t>Date</w:t>
      </w:r>
    </w:p>
    <w:p w14:paraId="71B49DE1" w14:textId="3919B986" w:rsidR="00154301" w:rsidRDefault="00154301" w:rsidP="00154301">
      <w:pPr>
        <w:spacing w:line="480" w:lineRule="auto"/>
        <w:jc w:val="center"/>
        <w:rPr>
          <w:rFonts w:ascii="Times New Roman" w:hAnsi="Times New Roman" w:cs="Times New Roman"/>
          <w:sz w:val="24"/>
          <w:szCs w:val="24"/>
          <w:lang w:val="en-US"/>
        </w:rPr>
      </w:pPr>
    </w:p>
    <w:p w14:paraId="2AEF2791" w14:textId="33CDB001" w:rsidR="00154301" w:rsidRDefault="00154301" w:rsidP="00154301">
      <w:pPr>
        <w:spacing w:line="480" w:lineRule="auto"/>
        <w:jc w:val="center"/>
        <w:rPr>
          <w:rFonts w:ascii="Times New Roman" w:hAnsi="Times New Roman" w:cs="Times New Roman"/>
          <w:sz w:val="24"/>
          <w:szCs w:val="24"/>
          <w:lang w:val="en-US"/>
        </w:rPr>
      </w:pPr>
    </w:p>
    <w:p w14:paraId="74E5F764" w14:textId="3550C026" w:rsidR="00154301" w:rsidRDefault="00154301" w:rsidP="00154301">
      <w:pPr>
        <w:spacing w:line="480" w:lineRule="auto"/>
        <w:jc w:val="center"/>
        <w:rPr>
          <w:rFonts w:ascii="Times New Roman" w:hAnsi="Times New Roman" w:cs="Times New Roman"/>
          <w:sz w:val="24"/>
          <w:szCs w:val="24"/>
          <w:lang w:val="en-US"/>
        </w:rPr>
      </w:pPr>
    </w:p>
    <w:p w14:paraId="75E83F5A" w14:textId="69D35FD2" w:rsidR="00154301" w:rsidRDefault="00154301" w:rsidP="00154301">
      <w:pPr>
        <w:spacing w:line="480" w:lineRule="auto"/>
        <w:jc w:val="center"/>
        <w:rPr>
          <w:rFonts w:ascii="Times New Roman" w:hAnsi="Times New Roman" w:cs="Times New Roman"/>
          <w:sz w:val="24"/>
          <w:szCs w:val="24"/>
          <w:lang w:val="en-US"/>
        </w:rPr>
      </w:pPr>
    </w:p>
    <w:p w14:paraId="6D0FEC81" w14:textId="16F0FC50" w:rsidR="00154301" w:rsidRDefault="00154301" w:rsidP="00154301">
      <w:pPr>
        <w:spacing w:line="480" w:lineRule="auto"/>
        <w:jc w:val="center"/>
        <w:rPr>
          <w:rFonts w:ascii="Times New Roman" w:hAnsi="Times New Roman" w:cs="Times New Roman"/>
          <w:sz w:val="24"/>
          <w:szCs w:val="24"/>
          <w:lang w:val="en-US"/>
        </w:rPr>
      </w:pPr>
    </w:p>
    <w:p w14:paraId="360C4ED2" w14:textId="1138AC41" w:rsidR="00154301" w:rsidRDefault="00154301" w:rsidP="00154301">
      <w:pPr>
        <w:spacing w:line="480" w:lineRule="auto"/>
        <w:jc w:val="center"/>
        <w:rPr>
          <w:rFonts w:ascii="Times New Roman" w:hAnsi="Times New Roman" w:cs="Times New Roman"/>
          <w:sz w:val="24"/>
          <w:szCs w:val="24"/>
          <w:lang w:val="en-US"/>
        </w:rPr>
      </w:pPr>
    </w:p>
    <w:p w14:paraId="4634E48C" w14:textId="7630ABC4" w:rsidR="00154301" w:rsidRDefault="00154301" w:rsidP="00154301">
      <w:pPr>
        <w:spacing w:line="480" w:lineRule="auto"/>
        <w:jc w:val="center"/>
        <w:rPr>
          <w:rFonts w:ascii="Times New Roman" w:hAnsi="Times New Roman" w:cs="Times New Roman"/>
          <w:sz w:val="24"/>
          <w:szCs w:val="24"/>
          <w:lang w:val="en-US"/>
        </w:rPr>
      </w:pPr>
    </w:p>
    <w:p w14:paraId="443A8766" w14:textId="14691E03" w:rsidR="00154301" w:rsidRDefault="00154301" w:rsidP="00154301">
      <w:pPr>
        <w:spacing w:line="480" w:lineRule="auto"/>
        <w:jc w:val="center"/>
        <w:rPr>
          <w:rFonts w:ascii="Times New Roman" w:hAnsi="Times New Roman" w:cs="Times New Roman"/>
          <w:sz w:val="24"/>
          <w:szCs w:val="24"/>
          <w:lang w:val="en-US"/>
        </w:rPr>
      </w:pPr>
    </w:p>
    <w:p w14:paraId="1FB11748" w14:textId="67D6F5DA" w:rsidR="00154301" w:rsidRDefault="00154301" w:rsidP="00154301">
      <w:pPr>
        <w:spacing w:line="480" w:lineRule="auto"/>
        <w:jc w:val="center"/>
        <w:rPr>
          <w:rFonts w:ascii="Times New Roman" w:hAnsi="Times New Roman" w:cs="Times New Roman"/>
          <w:sz w:val="24"/>
          <w:szCs w:val="24"/>
          <w:lang w:val="en-US"/>
        </w:rPr>
      </w:pPr>
    </w:p>
    <w:p w14:paraId="723F687E" w14:textId="77777777" w:rsidR="00154301" w:rsidRPr="00154301" w:rsidRDefault="00154301" w:rsidP="00154301">
      <w:pPr>
        <w:spacing w:line="480" w:lineRule="auto"/>
        <w:jc w:val="center"/>
        <w:rPr>
          <w:rFonts w:ascii="Times New Roman" w:hAnsi="Times New Roman" w:cs="Times New Roman"/>
          <w:sz w:val="24"/>
          <w:szCs w:val="24"/>
          <w:lang w:val="en-US"/>
        </w:rPr>
      </w:pPr>
    </w:p>
    <w:p w14:paraId="22B954A9" w14:textId="09AA434F" w:rsidR="00B854C0" w:rsidRPr="00154301" w:rsidRDefault="00B854C0" w:rsidP="00154301">
      <w:pPr>
        <w:spacing w:line="480" w:lineRule="auto"/>
        <w:jc w:val="center"/>
        <w:rPr>
          <w:rFonts w:ascii="Times New Roman" w:hAnsi="Times New Roman" w:cs="Times New Roman"/>
          <w:b/>
          <w:bCs/>
          <w:sz w:val="24"/>
          <w:szCs w:val="24"/>
          <w:lang w:val="en-US"/>
        </w:rPr>
      </w:pPr>
      <w:r w:rsidRPr="00154301">
        <w:rPr>
          <w:rFonts w:ascii="Times New Roman" w:hAnsi="Times New Roman" w:cs="Times New Roman"/>
          <w:b/>
          <w:bCs/>
          <w:sz w:val="24"/>
          <w:szCs w:val="24"/>
          <w:lang w:val="en-US"/>
        </w:rPr>
        <w:lastRenderedPageBreak/>
        <w:t>Introduction</w:t>
      </w:r>
    </w:p>
    <w:p w14:paraId="3AF19E0D" w14:textId="05BB5D18" w:rsidR="00B854C0" w:rsidRPr="00154301" w:rsidRDefault="00B854C0" w:rsidP="00154301">
      <w:pPr>
        <w:spacing w:line="480" w:lineRule="auto"/>
        <w:ind w:firstLine="567"/>
        <w:rPr>
          <w:rFonts w:ascii="Times New Roman" w:hAnsi="Times New Roman" w:cs="Times New Roman"/>
          <w:sz w:val="24"/>
          <w:szCs w:val="24"/>
          <w:lang w:val="en-US"/>
        </w:rPr>
      </w:pPr>
      <w:r w:rsidRPr="00154301">
        <w:rPr>
          <w:rFonts w:ascii="Times New Roman" w:hAnsi="Times New Roman" w:cs="Times New Roman"/>
          <w:sz w:val="24"/>
          <w:szCs w:val="24"/>
          <w:lang w:val="en-US"/>
        </w:rPr>
        <w:t xml:space="preserve">The main components in a diagnosis are; identification of the problem, identification of the etiology and risk factors and finally definition and assessment of the findings. Diagnosis can be defined as the clinical judgment of a patient. Diagnosis is important for the selection of the type of medical intervention for a patient (Tookoian, 2021).Therefore, the diagnosis and assessment aim at giving the healthcare workers a holistic perspective of the patient. </w:t>
      </w:r>
    </w:p>
    <w:p w14:paraId="62493D93" w14:textId="62C911B2" w:rsidR="00B854C0" w:rsidRPr="00154301" w:rsidRDefault="00B854C0" w:rsidP="00154301">
      <w:pPr>
        <w:spacing w:line="480" w:lineRule="auto"/>
        <w:ind w:firstLine="567"/>
        <w:jc w:val="center"/>
        <w:rPr>
          <w:rFonts w:ascii="Times New Roman" w:hAnsi="Times New Roman" w:cs="Times New Roman"/>
          <w:b/>
          <w:bCs/>
          <w:sz w:val="24"/>
          <w:szCs w:val="24"/>
          <w:lang w:val="en-US"/>
        </w:rPr>
      </w:pPr>
      <w:r w:rsidRPr="00154301">
        <w:rPr>
          <w:rFonts w:ascii="Times New Roman" w:hAnsi="Times New Roman" w:cs="Times New Roman"/>
          <w:b/>
          <w:bCs/>
          <w:sz w:val="24"/>
          <w:szCs w:val="24"/>
          <w:lang w:val="en-US"/>
        </w:rPr>
        <w:t xml:space="preserve">Additional </w:t>
      </w:r>
      <w:r w:rsidR="00154301" w:rsidRPr="00154301">
        <w:rPr>
          <w:rFonts w:ascii="Times New Roman" w:hAnsi="Times New Roman" w:cs="Times New Roman"/>
          <w:b/>
          <w:bCs/>
          <w:sz w:val="24"/>
          <w:szCs w:val="24"/>
          <w:lang w:val="en-US"/>
        </w:rPr>
        <w:t>I</w:t>
      </w:r>
      <w:r w:rsidRPr="00154301">
        <w:rPr>
          <w:rFonts w:ascii="Times New Roman" w:hAnsi="Times New Roman" w:cs="Times New Roman"/>
          <w:b/>
          <w:bCs/>
          <w:sz w:val="24"/>
          <w:szCs w:val="24"/>
          <w:lang w:val="en-US"/>
        </w:rPr>
        <w:t>nformation</w:t>
      </w:r>
    </w:p>
    <w:p w14:paraId="2ECC1CFA" w14:textId="77777777" w:rsidR="00B854C0" w:rsidRPr="00154301" w:rsidRDefault="00B854C0" w:rsidP="00154301">
      <w:pPr>
        <w:spacing w:line="480" w:lineRule="auto"/>
        <w:ind w:firstLine="567"/>
        <w:rPr>
          <w:rFonts w:ascii="Times New Roman" w:hAnsi="Times New Roman" w:cs="Times New Roman"/>
          <w:sz w:val="24"/>
          <w:szCs w:val="24"/>
          <w:lang w:val="en-US"/>
        </w:rPr>
      </w:pPr>
      <w:r w:rsidRPr="00154301">
        <w:rPr>
          <w:rFonts w:ascii="Times New Roman" w:hAnsi="Times New Roman" w:cs="Times New Roman"/>
          <w:sz w:val="24"/>
          <w:szCs w:val="24"/>
          <w:lang w:val="en-US"/>
        </w:rPr>
        <w:t>The given information is sufficiently used to make a diagnosis. However, additional information would have been added to efficiently make a diagnosis. The identifying information under the subjective assessment is well obtained. Additional information would have included; the event that led to the patient seeking medical care despite having the problem for some time. the patient should have also described the onset of the signs and symptoms despite her not being sure of when it started.</w:t>
      </w:r>
    </w:p>
    <w:p w14:paraId="67805DDD" w14:textId="77777777" w:rsidR="00B854C0" w:rsidRPr="00154301" w:rsidRDefault="00B854C0" w:rsidP="00154301">
      <w:pPr>
        <w:spacing w:line="480" w:lineRule="auto"/>
        <w:ind w:firstLine="567"/>
        <w:rPr>
          <w:rFonts w:ascii="Times New Roman" w:hAnsi="Times New Roman" w:cs="Times New Roman"/>
          <w:sz w:val="24"/>
          <w:szCs w:val="24"/>
          <w:lang w:val="en-US"/>
        </w:rPr>
      </w:pPr>
      <w:r w:rsidRPr="00154301">
        <w:rPr>
          <w:rFonts w:ascii="Times New Roman" w:hAnsi="Times New Roman" w:cs="Times New Roman"/>
          <w:sz w:val="24"/>
          <w:szCs w:val="24"/>
          <w:lang w:val="en-US"/>
        </w:rPr>
        <w:t xml:space="preserve">The patient should have also stated any other health abnormalities on her body besides the genitalia sores. These would include sores in the mouth or any other body part. </w:t>
      </w:r>
    </w:p>
    <w:p w14:paraId="429DC638" w14:textId="77777777" w:rsidR="00B854C0" w:rsidRPr="00154301" w:rsidRDefault="00B854C0" w:rsidP="00154301">
      <w:pPr>
        <w:spacing w:line="480" w:lineRule="auto"/>
        <w:ind w:firstLine="567"/>
        <w:rPr>
          <w:rFonts w:ascii="Times New Roman" w:hAnsi="Times New Roman" w:cs="Times New Roman"/>
          <w:sz w:val="24"/>
          <w:szCs w:val="24"/>
          <w:lang w:val="en-US"/>
        </w:rPr>
      </w:pPr>
      <w:r w:rsidRPr="00154301">
        <w:rPr>
          <w:rFonts w:ascii="Times New Roman" w:hAnsi="Times New Roman" w:cs="Times New Roman"/>
          <w:sz w:val="24"/>
          <w:szCs w:val="24"/>
          <w:lang w:val="en-US"/>
        </w:rPr>
        <w:t xml:space="preserve">The assessment is supported by subjective and objective data. The subjective data extensively suggests the risk factor. Following the patient’s sexual history, the most possible cause for her bumps would be unprotected sex. The objective diagnosis is also supportive of this assessment. The patient shows no other signs besides the bumps. The absence of swelling, the even hair distribution, intact perineum, and an intact meatus without discharge and erythema. The painless ulcer is the only abnormality noted on the patient’s external labia. </w:t>
      </w:r>
    </w:p>
    <w:p w14:paraId="39CA3181" w14:textId="77777777" w:rsidR="00B854C0" w:rsidRPr="00154301" w:rsidRDefault="00B854C0" w:rsidP="00154301">
      <w:pPr>
        <w:spacing w:line="480" w:lineRule="auto"/>
        <w:ind w:firstLine="567"/>
        <w:rPr>
          <w:rFonts w:ascii="Times New Roman" w:hAnsi="Times New Roman" w:cs="Times New Roman"/>
          <w:sz w:val="24"/>
          <w:szCs w:val="24"/>
          <w:lang w:val="en-US"/>
        </w:rPr>
      </w:pPr>
      <w:r w:rsidRPr="00154301">
        <w:rPr>
          <w:rFonts w:ascii="Times New Roman" w:hAnsi="Times New Roman" w:cs="Times New Roman"/>
          <w:sz w:val="24"/>
          <w:szCs w:val="24"/>
          <w:lang w:val="en-US"/>
        </w:rPr>
        <w:t xml:space="preserve">The assessment concluded that the patient’s condition was chancre was based on the given data. Chancre manifests as a painless genital ulcer. It is caused by Treponema pallidum. This is a gram-negative bacterium that causes syphilis. Cancer can therefore be an </w:t>
      </w:r>
      <w:r w:rsidRPr="00154301">
        <w:rPr>
          <w:rFonts w:ascii="Times New Roman" w:hAnsi="Times New Roman" w:cs="Times New Roman"/>
          <w:sz w:val="24"/>
          <w:szCs w:val="24"/>
          <w:lang w:val="en-US"/>
        </w:rPr>
        <w:lastRenderedPageBreak/>
        <w:t xml:space="preserve">early sign of syphilis. Transmission occurs during direct contact with an infected person. From or subjective data, the patient was in sexual contact with more than one partner in the last year. She also states that she was sexually active. This data, therefore, gives the risk factor of exposing the patient to her condition. Most of the other sexually transmitted diseases manifest in inflammations or abnormal discharges. This was not the case for AB. </w:t>
      </w:r>
    </w:p>
    <w:p w14:paraId="1CD9EF91" w14:textId="77777777" w:rsidR="00B854C0" w:rsidRPr="00154301" w:rsidRDefault="00B854C0" w:rsidP="00154301">
      <w:pPr>
        <w:spacing w:line="480" w:lineRule="auto"/>
        <w:ind w:firstLine="567"/>
        <w:rPr>
          <w:rFonts w:ascii="Times New Roman" w:hAnsi="Times New Roman" w:cs="Times New Roman"/>
          <w:sz w:val="24"/>
          <w:szCs w:val="24"/>
          <w:lang w:val="en-US"/>
        </w:rPr>
      </w:pPr>
      <w:r w:rsidRPr="00154301">
        <w:rPr>
          <w:rFonts w:ascii="Times New Roman" w:hAnsi="Times New Roman" w:cs="Times New Roman"/>
          <w:sz w:val="24"/>
          <w:szCs w:val="24"/>
          <w:lang w:val="en-US"/>
        </w:rPr>
        <w:t xml:space="preserve">The objective assessment is also supportive of the diagnosis. The systemic assessment indicates that the patient had a normal functioning body. There are normal normoactive bowel sounds, a negative rebound on the abdomen negative Murphy’s, and also negative MC Burney. The identified painless ulcer and obtaining of the HSV specimen were therefore the two abnormalities used to make a diagnosis. The Herpes Simplex Virus was however an indication of a different assessment and diagnosis. However, the painless sore is characteristically a specific symptom for chancre. </w:t>
      </w:r>
    </w:p>
    <w:p w14:paraId="6FC84F03" w14:textId="77777777" w:rsidR="00B854C0" w:rsidRPr="00154301" w:rsidRDefault="00B854C0" w:rsidP="00154301">
      <w:pPr>
        <w:spacing w:line="480" w:lineRule="auto"/>
        <w:ind w:firstLine="567"/>
        <w:rPr>
          <w:rFonts w:ascii="Times New Roman" w:hAnsi="Times New Roman" w:cs="Times New Roman"/>
          <w:sz w:val="24"/>
          <w:szCs w:val="24"/>
          <w:lang w:val="en-US"/>
        </w:rPr>
      </w:pPr>
      <w:r w:rsidRPr="00154301">
        <w:rPr>
          <w:rFonts w:ascii="Times New Roman" w:hAnsi="Times New Roman" w:cs="Times New Roman"/>
          <w:sz w:val="24"/>
          <w:szCs w:val="24"/>
          <w:lang w:val="en-US"/>
        </w:rPr>
        <w:t>Diagnostics would be appropriate for this case. This is because a chancre could be a symptom of a more serious condition like syphilis. These tests would include an enzyme immunoassay test. This is a test done to detect the antibodies against syphilis in the blood. The other test includes Fluorescent Treponemal antibody absorption which also checks for antibodies. However, the test would not be accurate as the time of the onset of symptoms as well as the time of exposure is not identified. Other tests that check for antibodies include darkfield microscopy, Micro hemagglutination assay, and Treponema pallidum particle agglutination assay.</w:t>
      </w:r>
    </w:p>
    <w:p w14:paraId="728C0EE9" w14:textId="15BE1947" w:rsidR="00B854C0" w:rsidRPr="00154301" w:rsidRDefault="00B854C0" w:rsidP="00154301">
      <w:pPr>
        <w:spacing w:line="480" w:lineRule="auto"/>
        <w:ind w:firstLine="567"/>
        <w:rPr>
          <w:rFonts w:ascii="Times New Roman" w:hAnsi="Times New Roman" w:cs="Times New Roman"/>
          <w:sz w:val="24"/>
          <w:szCs w:val="24"/>
          <w:lang w:val="en-US"/>
        </w:rPr>
      </w:pPr>
      <w:r w:rsidRPr="00154301">
        <w:rPr>
          <w:rFonts w:ascii="Times New Roman" w:hAnsi="Times New Roman" w:cs="Times New Roman"/>
          <w:sz w:val="24"/>
          <w:szCs w:val="24"/>
          <w:lang w:val="en-US"/>
        </w:rPr>
        <w:t xml:space="preserve">Screening tests like the Venereal disease research laboratory (VDRL) test can also be used to check the blood or spinal fluid for checking antibodies. However, positive results could be as a result of another case other than syphilis. Additional tests for antibodies include </w:t>
      </w:r>
      <w:r w:rsidRPr="00154301">
        <w:rPr>
          <w:rFonts w:ascii="Times New Roman" w:hAnsi="Times New Roman" w:cs="Times New Roman"/>
          <w:sz w:val="24"/>
          <w:szCs w:val="24"/>
          <w:lang w:val="en-US"/>
        </w:rPr>
        <w:lastRenderedPageBreak/>
        <w:t>Rapid plasma reign and rapid immunochromatographic tests</w:t>
      </w:r>
      <w:r w:rsidR="00154301" w:rsidRPr="00154301">
        <w:rPr>
          <w:rFonts w:ascii="Times New Roman" w:hAnsi="Times New Roman" w:cs="Times New Roman"/>
          <w:sz w:val="24"/>
          <w:szCs w:val="24"/>
          <w:lang w:val="en-US"/>
        </w:rPr>
        <w:t xml:space="preserve"> (University of Michigan, 2021)</w:t>
      </w:r>
      <w:r w:rsidRPr="00154301">
        <w:rPr>
          <w:rFonts w:ascii="Times New Roman" w:hAnsi="Times New Roman" w:cs="Times New Roman"/>
          <w:sz w:val="24"/>
          <w:szCs w:val="24"/>
          <w:lang w:val="en-US"/>
        </w:rPr>
        <w:t xml:space="preserve">. Other tests could be done on the body tissue from the painless ulcer and the vaginal fluid. </w:t>
      </w:r>
    </w:p>
    <w:p w14:paraId="0DED1D92" w14:textId="77777777" w:rsidR="00B854C0" w:rsidRPr="00154301" w:rsidRDefault="00B854C0" w:rsidP="00154301">
      <w:pPr>
        <w:spacing w:line="480" w:lineRule="auto"/>
        <w:ind w:firstLine="567"/>
        <w:rPr>
          <w:rFonts w:ascii="Times New Roman" w:hAnsi="Times New Roman" w:cs="Times New Roman"/>
          <w:sz w:val="24"/>
          <w:szCs w:val="24"/>
          <w:lang w:val="en-US"/>
        </w:rPr>
      </w:pPr>
      <w:r w:rsidRPr="00154301">
        <w:rPr>
          <w:rFonts w:ascii="Times New Roman" w:hAnsi="Times New Roman" w:cs="Times New Roman"/>
          <w:sz w:val="24"/>
          <w:szCs w:val="24"/>
          <w:lang w:val="en-US"/>
        </w:rPr>
        <w:t xml:space="preserve">The assessment could be defined as half diagnosis because the painless sores could be a symptom of another serious sexually transmitted disease. The diagnosis however is acceptable based on the subjective and objective data. Obtaining the herpes virus in the lab in the objective data was an indication of an assessment different from chance. The patient probably had a mixed infection and there was the need to perform further tests for confirmation before concluding. </w:t>
      </w:r>
    </w:p>
    <w:p w14:paraId="34DF07A6" w14:textId="05988C4F" w:rsidR="009C7546" w:rsidRDefault="00B854C0" w:rsidP="00154301">
      <w:pPr>
        <w:spacing w:line="480" w:lineRule="auto"/>
        <w:ind w:firstLine="567"/>
        <w:rPr>
          <w:rFonts w:ascii="Times New Roman" w:hAnsi="Times New Roman" w:cs="Times New Roman"/>
          <w:sz w:val="24"/>
          <w:szCs w:val="24"/>
          <w:lang w:val="en-US"/>
        </w:rPr>
      </w:pPr>
      <w:r w:rsidRPr="00154301">
        <w:rPr>
          <w:rFonts w:ascii="Times New Roman" w:hAnsi="Times New Roman" w:cs="Times New Roman"/>
          <w:sz w:val="24"/>
          <w:szCs w:val="24"/>
          <w:lang w:val="en-US"/>
        </w:rPr>
        <w:t>For one to conclude the assessment for chancre, the genital ulcers have to be painful. There is also a need to perform serological tests for syphilis. There is also a need for the examination of the lymph nodes and identification of lymphadenopathy. Finally, the herpes virus test should come out negative</w:t>
      </w:r>
      <w:r w:rsidR="00154301" w:rsidRPr="00154301">
        <w:rPr>
          <w:rFonts w:ascii="Times New Roman" w:hAnsi="Times New Roman" w:cs="Times New Roman"/>
          <w:sz w:val="24"/>
          <w:szCs w:val="24"/>
          <w:lang w:val="en-US"/>
        </w:rPr>
        <w:t xml:space="preserve"> (IDPH, 2021)</w:t>
      </w:r>
      <w:r w:rsidRPr="00154301">
        <w:rPr>
          <w:rFonts w:ascii="Times New Roman" w:hAnsi="Times New Roman" w:cs="Times New Roman"/>
          <w:sz w:val="24"/>
          <w:szCs w:val="24"/>
          <w:lang w:val="en-US"/>
        </w:rPr>
        <w:t>. Therefore, I do not accept the diagnosis. Herpes simplex and syphilis are the main differential diagnosis for chancre. They both present as genitival ulcers. Another Ddx could also be lymphonuruloma Vereum.</w:t>
      </w:r>
    </w:p>
    <w:p w14:paraId="484B60C8" w14:textId="0ECCA756" w:rsidR="00154301" w:rsidRDefault="00154301" w:rsidP="00154301">
      <w:pPr>
        <w:spacing w:line="480" w:lineRule="auto"/>
        <w:ind w:firstLine="567"/>
        <w:rPr>
          <w:rFonts w:ascii="Times New Roman" w:hAnsi="Times New Roman" w:cs="Times New Roman"/>
          <w:sz w:val="24"/>
          <w:szCs w:val="24"/>
          <w:lang w:val="en-US"/>
        </w:rPr>
      </w:pPr>
    </w:p>
    <w:p w14:paraId="5C3C3714" w14:textId="0D19D3E2" w:rsidR="00154301" w:rsidRDefault="00154301" w:rsidP="00154301">
      <w:pPr>
        <w:spacing w:line="480" w:lineRule="auto"/>
        <w:ind w:firstLine="567"/>
        <w:rPr>
          <w:rFonts w:ascii="Times New Roman" w:hAnsi="Times New Roman" w:cs="Times New Roman"/>
          <w:sz w:val="24"/>
          <w:szCs w:val="24"/>
          <w:lang w:val="en-US"/>
        </w:rPr>
      </w:pPr>
    </w:p>
    <w:p w14:paraId="32E241DF" w14:textId="2D05C767" w:rsidR="00154301" w:rsidRDefault="00154301" w:rsidP="00154301">
      <w:pPr>
        <w:spacing w:line="480" w:lineRule="auto"/>
        <w:ind w:firstLine="567"/>
        <w:rPr>
          <w:rFonts w:ascii="Times New Roman" w:hAnsi="Times New Roman" w:cs="Times New Roman"/>
          <w:sz w:val="24"/>
          <w:szCs w:val="24"/>
          <w:lang w:val="en-US"/>
        </w:rPr>
      </w:pPr>
    </w:p>
    <w:p w14:paraId="51BF8785" w14:textId="3BBECFA2" w:rsidR="00154301" w:rsidRDefault="00154301" w:rsidP="00154301">
      <w:pPr>
        <w:spacing w:line="480" w:lineRule="auto"/>
        <w:ind w:firstLine="567"/>
        <w:rPr>
          <w:rFonts w:ascii="Times New Roman" w:hAnsi="Times New Roman" w:cs="Times New Roman"/>
          <w:sz w:val="24"/>
          <w:szCs w:val="24"/>
          <w:lang w:val="en-US"/>
        </w:rPr>
      </w:pPr>
    </w:p>
    <w:p w14:paraId="22305D49" w14:textId="34776E6C" w:rsidR="00154301" w:rsidRDefault="00154301" w:rsidP="00154301">
      <w:pPr>
        <w:spacing w:line="480" w:lineRule="auto"/>
        <w:ind w:firstLine="567"/>
        <w:rPr>
          <w:rFonts w:ascii="Times New Roman" w:hAnsi="Times New Roman" w:cs="Times New Roman"/>
          <w:sz w:val="24"/>
          <w:szCs w:val="24"/>
          <w:lang w:val="en-US"/>
        </w:rPr>
      </w:pPr>
    </w:p>
    <w:p w14:paraId="6B08A4DC" w14:textId="45A986F4" w:rsidR="00154301" w:rsidRDefault="00154301" w:rsidP="00154301">
      <w:pPr>
        <w:spacing w:line="480" w:lineRule="auto"/>
        <w:ind w:firstLine="567"/>
        <w:rPr>
          <w:rFonts w:ascii="Times New Roman" w:hAnsi="Times New Roman" w:cs="Times New Roman"/>
          <w:sz w:val="24"/>
          <w:szCs w:val="24"/>
          <w:lang w:val="en-US"/>
        </w:rPr>
      </w:pPr>
    </w:p>
    <w:p w14:paraId="13AB2260" w14:textId="77777777" w:rsidR="00154301" w:rsidRPr="00154301" w:rsidRDefault="00154301" w:rsidP="00154301">
      <w:pPr>
        <w:spacing w:line="480" w:lineRule="auto"/>
        <w:ind w:firstLine="567"/>
        <w:rPr>
          <w:rFonts w:ascii="Times New Roman" w:hAnsi="Times New Roman" w:cs="Times New Roman"/>
          <w:sz w:val="24"/>
          <w:szCs w:val="24"/>
          <w:lang w:val="en-US"/>
        </w:rPr>
      </w:pPr>
    </w:p>
    <w:p w14:paraId="0B2F1AF9" w14:textId="292A7569" w:rsidR="00154301" w:rsidRPr="00154301" w:rsidRDefault="00154301" w:rsidP="00154301">
      <w:pPr>
        <w:spacing w:line="480" w:lineRule="auto"/>
        <w:ind w:firstLine="567"/>
        <w:rPr>
          <w:rFonts w:ascii="Times New Roman" w:hAnsi="Times New Roman" w:cs="Times New Roman"/>
          <w:sz w:val="24"/>
          <w:szCs w:val="24"/>
          <w:lang w:val="en-US"/>
        </w:rPr>
      </w:pPr>
    </w:p>
    <w:p w14:paraId="2221928C" w14:textId="77777777" w:rsidR="00154301" w:rsidRPr="00154301" w:rsidRDefault="00154301" w:rsidP="00154301">
      <w:pPr>
        <w:shd w:val="clear" w:color="auto" w:fill="FFFFFF"/>
        <w:spacing w:after="0" w:line="480" w:lineRule="auto"/>
        <w:jc w:val="center"/>
        <w:rPr>
          <w:rFonts w:ascii="Times New Roman" w:eastAsia="Times New Roman" w:hAnsi="Times New Roman" w:cs="Times New Roman"/>
          <w:color w:val="000000"/>
          <w:sz w:val="24"/>
          <w:szCs w:val="24"/>
          <w:lang w:eastAsia="aa-ET"/>
        </w:rPr>
      </w:pPr>
      <w:r w:rsidRPr="00154301">
        <w:rPr>
          <w:rFonts w:ascii="Times New Roman" w:eastAsia="Times New Roman" w:hAnsi="Times New Roman" w:cs="Times New Roman"/>
          <w:color w:val="000000"/>
          <w:sz w:val="24"/>
          <w:szCs w:val="24"/>
          <w:lang w:eastAsia="aa-ET"/>
        </w:rPr>
        <w:lastRenderedPageBreak/>
        <w:t>References</w:t>
      </w:r>
    </w:p>
    <w:p w14:paraId="7CFFBCFA" w14:textId="77777777" w:rsidR="00154301" w:rsidRPr="00154301" w:rsidRDefault="00154301" w:rsidP="00154301">
      <w:pPr>
        <w:shd w:val="clear" w:color="auto" w:fill="FFFFFF"/>
        <w:spacing w:after="0" w:line="480" w:lineRule="auto"/>
        <w:ind w:left="720" w:right="75" w:hanging="720"/>
        <w:rPr>
          <w:rFonts w:ascii="Times New Roman" w:eastAsia="Times New Roman" w:hAnsi="Times New Roman" w:cs="Times New Roman"/>
          <w:color w:val="000000"/>
          <w:sz w:val="24"/>
          <w:szCs w:val="24"/>
          <w:lang w:eastAsia="aa-ET"/>
        </w:rPr>
      </w:pPr>
      <w:r w:rsidRPr="00154301">
        <w:rPr>
          <w:rFonts w:ascii="Times New Roman" w:eastAsia="Times New Roman" w:hAnsi="Times New Roman" w:cs="Times New Roman"/>
          <w:color w:val="000000"/>
          <w:sz w:val="24"/>
          <w:szCs w:val="24"/>
          <w:lang w:eastAsia="aa-ET"/>
        </w:rPr>
        <w:t>IDPH. (2021). </w:t>
      </w:r>
      <w:r w:rsidRPr="00154301">
        <w:rPr>
          <w:rFonts w:ascii="Times New Roman" w:eastAsia="Times New Roman" w:hAnsi="Times New Roman" w:cs="Times New Roman"/>
          <w:i/>
          <w:iCs/>
          <w:color w:val="000000"/>
          <w:sz w:val="24"/>
          <w:szCs w:val="24"/>
          <w:lang w:eastAsia="aa-ET"/>
        </w:rPr>
        <w:t>Chancroid</w:t>
      </w:r>
      <w:r w:rsidRPr="00154301">
        <w:rPr>
          <w:rFonts w:ascii="Times New Roman" w:eastAsia="Times New Roman" w:hAnsi="Times New Roman" w:cs="Times New Roman"/>
          <w:color w:val="000000"/>
          <w:sz w:val="24"/>
          <w:szCs w:val="24"/>
          <w:lang w:eastAsia="aa-ET"/>
        </w:rPr>
        <w:t>. IDPH | Protecting health, improving lives. </w:t>
      </w:r>
      <w:hyperlink r:id="rId6" w:history="1">
        <w:r w:rsidRPr="00154301">
          <w:rPr>
            <w:rFonts w:ascii="Times New Roman" w:eastAsia="Times New Roman" w:hAnsi="Times New Roman" w:cs="Times New Roman"/>
            <w:color w:val="000000"/>
            <w:sz w:val="24"/>
            <w:szCs w:val="24"/>
            <w:u w:val="single"/>
            <w:lang w:eastAsia="aa-ET"/>
          </w:rPr>
          <w:t>https://dph.illinois.gov/topics-services/diseases-and-conditions/diseases-a-z-list/chancroid</w:t>
        </w:r>
      </w:hyperlink>
    </w:p>
    <w:p w14:paraId="7A01C4E5" w14:textId="77777777" w:rsidR="00154301" w:rsidRPr="00154301" w:rsidRDefault="00154301" w:rsidP="00154301">
      <w:pPr>
        <w:shd w:val="clear" w:color="auto" w:fill="FFFFFF"/>
        <w:spacing w:after="0" w:line="480" w:lineRule="auto"/>
        <w:ind w:left="720" w:right="75" w:hanging="720"/>
        <w:rPr>
          <w:rFonts w:ascii="Times New Roman" w:eastAsia="Times New Roman" w:hAnsi="Times New Roman" w:cs="Times New Roman"/>
          <w:color w:val="000000"/>
          <w:sz w:val="24"/>
          <w:szCs w:val="24"/>
          <w:lang w:eastAsia="aa-ET"/>
        </w:rPr>
      </w:pPr>
      <w:r w:rsidRPr="00154301">
        <w:rPr>
          <w:rFonts w:ascii="Times New Roman" w:eastAsia="Times New Roman" w:hAnsi="Times New Roman" w:cs="Times New Roman"/>
          <w:color w:val="000000"/>
          <w:sz w:val="24"/>
          <w:szCs w:val="24"/>
          <w:lang w:eastAsia="aa-ET"/>
        </w:rPr>
        <w:t>Tookoian. (2021, March 5). </w:t>
      </w:r>
      <w:r w:rsidRPr="00154301">
        <w:rPr>
          <w:rFonts w:ascii="Times New Roman" w:eastAsia="Times New Roman" w:hAnsi="Times New Roman" w:cs="Times New Roman"/>
          <w:i/>
          <w:iCs/>
          <w:color w:val="000000"/>
          <w:sz w:val="24"/>
          <w:szCs w:val="24"/>
          <w:lang w:eastAsia="aa-ET"/>
        </w:rPr>
        <w:t>What is a diagnostic assessment?</w:t>
      </w:r>
      <w:r w:rsidRPr="00154301">
        <w:rPr>
          <w:rFonts w:ascii="Times New Roman" w:eastAsia="Times New Roman" w:hAnsi="Times New Roman" w:cs="Times New Roman"/>
          <w:color w:val="000000"/>
          <w:sz w:val="24"/>
          <w:szCs w:val="24"/>
          <w:lang w:eastAsia="aa-ET"/>
        </w:rPr>
        <w:t> Edulastic Blog. </w:t>
      </w:r>
      <w:hyperlink r:id="rId7" w:history="1">
        <w:r w:rsidRPr="00154301">
          <w:rPr>
            <w:rFonts w:ascii="Times New Roman" w:eastAsia="Times New Roman" w:hAnsi="Times New Roman" w:cs="Times New Roman"/>
            <w:color w:val="000000"/>
            <w:sz w:val="24"/>
            <w:szCs w:val="24"/>
            <w:u w:val="single"/>
            <w:lang w:eastAsia="aa-ET"/>
          </w:rPr>
          <w:t>https://edulastic.com/blog/diagnostic-assessment/</w:t>
        </w:r>
      </w:hyperlink>
    </w:p>
    <w:p w14:paraId="30EB6B9F" w14:textId="77777777" w:rsidR="00154301" w:rsidRPr="00154301" w:rsidRDefault="00154301" w:rsidP="00154301">
      <w:pPr>
        <w:shd w:val="clear" w:color="auto" w:fill="FFFFFF"/>
        <w:spacing w:after="0" w:line="480" w:lineRule="auto"/>
        <w:ind w:left="720" w:right="75" w:hanging="720"/>
        <w:rPr>
          <w:rFonts w:ascii="Times New Roman" w:eastAsia="Times New Roman" w:hAnsi="Times New Roman" w:cs="Times New Roman"/>
          <w:color w:val="000000"/>
          <w:sz w:val="24"/>
          <w:szCs w:val="24"/>
          <w:lang w:eastAsia="aa-ET"/>
        </w:rPr>
      </w:pPr>
      <w:r w:rsidRPr="00154301">
        <w:rPr>
          <w:rFonts w:ascii="Times New Roman" w:eastAsia="Times New Roman" w:hAnsi="Times New Roman" w:cs="Times New Roman"/>
          <w:color w:val="000000"/>
          <w:sz w:val="24"/>
          <w:szCs w:val="24"/>
          <w:lang w:eastAsia="aa-ET"/>
        </w:rPr>
        <w:t>University of Michigan. (2021). </w:t>
      </w:r>
      <w:r w:rsidRPr="00154301">
        <w:rPr>
          <w:rFonts w:ascii="Times New Roman" w:eastAsia="Times New Roman" w:hAnsi="Times New Roman" w:cs="Times New Roman"/>
          <w:i/>
          <w:iCs/>
          <w:color w:val="000000"/>
          <w:sz w:val="24"/>
          <w:szCs w:val="24"/>
          <w:lang w:eastAsia="aa-ET"/>
        </w:rPr>
        <w:t>Syphilis tests</w:t>
      </w:r>
      <w:r w:rsidRPr="00154301">
        <w:rPr>
          <w:rFonts w:ascii="Times New Roman" w:eastAsia="Times New Roman" w:hAnsi="Times New Roman" w:cs="Times New Roman"/>
          <w:color w:val="000000"/>
          <w:sz w:val="24"/>
          <w:szCs w:val="24"/>
          <w:lang w:eastAsia="aa-ET"/>
        </w:rPr>
        <w:t>. University of Michigan | Michigan Medicine. </w:t>
      </w:r>
      <w:hyperlink r:id="rId8" w:history="1">
        <w:r w:rsidRPr="00154301">
          <w:rPr>
            <w:rFonts w:ascii="Times New Roman" w:eastAsia="Times New Roman" w:hAnsi="Times New Roman" w:cs="Times New Roman"/>
            <w:color w:val="000000"/>
            <w:sz w:val="24"/>
            <w:szCs w:val="24"/>
            <w:u w:val="single"/>
            <w:lang w:eastAsia="aa-ET"/>
          </w:rPr>
          <w:t>https://www.uofmhealth.org/health-library/hw5839</w:t>
        </w:r>
      </w:hyperlink>
    </w:p>
    <w:p w14:paraId="5CE70466" w14:textId="77777777" w:rsidR="00154301" w:rsidRPr="00154301" w:rsidRDefault="00154301" w:rsidP="00154301">
      <w:pPr>
        <w:spacing w:line="480" w:lineRule="auto"/>
        <w:ind w:firstLine="567"/>
        <w:rPr>
          <w:rFonts w:ascii="Times New Roman" w:hAnsi="Times New Roman" w:cs="Times New Roman"/>
          <w:sz w:val="24"/>
          <w:szCs w:val="24"/>
          <w:lang w:val="en-US"/>
        </w:rPr>
      </w:pPr>
    </w:p>
    <w:sectPr w:rsidR="00154301" w:rsidRPr="00154301">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AE65BA" w14:textId="77777777" w:rsidR="0097000E" w:rsidRDefault="0097000E" w:rsidP="00B854C0">
      <w:pPr>
        <w:spacing w:after="0" w:line="240" w:lineRule="auto"/>
      </w:pPr>
      <w:r>
        <w:separator/>
      </w:r>
    </w:p>
  </w:endnote>
  <w:endnote w:type="continuationSeparator" w:id="0">
    <w:p w14:paraId="2149F8F2" w14:textId="77777777" w:rsidR="0097000E" w:rsidRDefault="0097000E" w:rsidP="00B85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3F2D45" w14:textId="77777777" w:rsidR="0097000E" w:rsidRDefault="0097000E" w:rsidP="00B854C0">
      <w:pPr>
        <w:spacing w:after="0" w:line="240" w:lineRule="auto"/>
      </w:pPr>
      <w:r>
        <w:separator/>
      </w:r>
    </w:p>
  </w:footnote>
  <w:footnote w:type="continuationSeparator" w:id="0">
    <w:p w14:paraId="45A164C1" w14:textId="77777777" w:rsidR="0097000E" w:rsidRDefault="0097000E" w:rsidP="00B854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039405"/>
      <w:docPartObj>
        <w:docPartGallery w:val="Page Numbers (Top of Page)"/>
        <w:docPartUnique/>
      </w:docPartObj>
    </w:sdtPr>
    <w:sdtEndPr>
      <w:rPr>
        <w:noProof/>
      </w:rPr>
    </w:sdtEndPr>
    <w:sdtContent>
      <w:p w14:paraId="1AD90D37" w14:textId="169D787C" w:rsidR="00B854C0" w:rsidRDefault="00B854C0">
        <w:pPr>
          <w:pStyle w:val="Header"/>
          <w:jc w:val="right"/>
        </w:pPr>
        <w:r>
          <w:fldChar w:fldCharType="begin"/>
        </w:r>
        <w:r>
          <w:instrText xml:space="preserve"> PAGE   \* MERGEFORMAT </w:instrText>
        </w:r>
        <w:r>
          <w:fldChar w:fldCharType="separate"/>
        </w:r>
        <w:r w:rsidR="00974B7E">
          <w:rPr>
            <w:noProof/>
          </w:rPr>
          <w:t>5</w:t>
        </w:r>
        <w:r>
          <w:rPr>
            <w:noProof/>
          </w:rPr>
          <w:fldChar w:fldCharType="end"/>
        </w:r>
      </w:p>
    </w:sdtContent>
  </w:sdt>
  <w:p w14:paraId="41B8E418" w14:textId="77777777" w:rsidR="00B854C0" w:rsidRDefault="00B854C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9E7"/>
    <w:rsid w:val="000F4E05"/>
    <w:rsid w:val="00142A55"/>
    <w:rsid w:val="00154301"/>
    <w:rsid w:val="00163D77"/>
    <w:rsid w:val="003962BA"/>
    <w:rsid w:val="0095295C"/>
    <w:rsid w:val="0097000E"/>
    <w:rsid w:val="00974B7E"/>
    <w:rsid w:val="009C7546"/>
    <w:rsid w:val="00A1106F"/>
    <w:rsid w:val="00B854C0"/>
    <w:rsid w:val="00CE5E6C"/>
    <w:rsid w:val="00E159E7"/>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3DB83"/>
  <w15:chartTrackingRefBased/>
  <w15:docId w15:val="{DE7CCAF7-F76F-4A82-B3D9-59F7D7787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aa-E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54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54C0"/>
  </w:style>
  <w:style w:type="paragraph" w:styleId="Footer">
    <w:name w:val="footer"/>
    <w:basedOn w:val="Normal"/>
    <w:link w:val="FooterChar"/>
    <w:uiPriority w:val="99"/>
    <w:unhideWhenUsed/>
    <w:rsid w:val="00B854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54C0"/>
  </w:style>
  <w:style w:type="paragraph" w:styleId="NormalWeb">
    <w:name w:val="Normal (Web)"/>
    <w:basedOn w:val="Normal"/>
    <w:uiPriority w:val="99"/>
    <w:semiHidden/>
    <w:unhideWhenUsed/>
    <w:rsid w:val="00154301"/>
    <w:pPr>
      <w:spacing w:before="100" w:beforeAutospacing="1" w:after="100" w:afterAutospacing="1" w:line="240" w:lineRule="auto"/>
    </w:pPr>
    <w:rPr>
      <w:rFonts w:ascii="Times New Roman" w:eastAsia="Times New Roman" w:hAnsi="Times New Roman" w:cs="Times New Roman"/>
      <w:sz w:val="24"/>
      <w:szCs w:val="24"/>
      <w:lang w:eastAsia="aa-ET"/>
    </w:rPr>
  </w:style>
  <w:style w:type="character" w:styleId="Emphasis">
    <w:name w:val="Emphasis"/>
    <w:basedOn w:val="DefaultParagraphFont"/>
    <w:uiPriority w:val="20"/>
    <w:qFormat/>
    <w:rsid w:val="00154301"/>
    <w:rPr>
      <w:i/>
      <w:iCs/>
    </w:rPr>
  </w:style>
  <w:style w:type="character" w:styleId="Hyperlink">
    <w:name w:val="Hyperlink"/>
    <w:basedOn w:val="DefaultParagraphFont"/>
    <w:uiPriority w:val="99"/>
    <w:semiHidden/>
    <w:unhideWhenUsed/>
    <w:rsid w:val="001543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755437">
      <w:bodyDiv w:val="1"/>
      <w:marLeft w:val="0"/>
      <w:marRight w:val="0"/>
      <w:marTop w:val="0"/>
      <w:marBottom w:val="0"/>
      <w:divBdr>
        <w:top w:val="none" w:sz="0" w:space="0" w:color="auto"/>
        <w:left w:val="none" w:sz="0" w:space="0" w:color="auto"/>
        <w:bottom w:val="none" w:sz="0" w:space="0" w:color="auto"/>
        <w:right w:val="none" w:sz="0" w:space="0" w:color="auto"/>
      </w:divBdr>
    </w:div>
    <w:div w:id="20942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ofmhealth.org/health-library/hw5839" TargetMode="External"/><Relationship Id="rId3" Type="http://schemas.openxmlformats.org/officeDocument/2006/relationships/webSettings" Target="webSettings.xml"/><Relationship Id="rId7" Type="http://schemas.openxmlformats.org/officeDocument/2006/relationships/hyperlink" Target="https://edulastic.com/blog/diagnostic-assessme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ph.illinois.gov/topics-services/diseases-and-conditions/diseases-a-z-list/chancroid"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873</Words>
  <Characters>4981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Tabz</dc:creator>
  <cp:keywords/>
  <dc:description/>
  <cp:lastModifiedBy>User</cp:lastModifiedBy>
  <cp:revision>2</cp:revision>
  <dcterms:created xsi:type="dcterms:W3CDTF">2021-08-09T23:37:00Z</dcterms:created>
  <dcterms:modified xsi:type="dcterms:W3CDTF">2021-08-09T23:37:00Z</dcterms:modified>
</cp:coreProperties>
</file>